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Grant John Douglas Kelso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8176 PARK LANE,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Kosmos Energy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75231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5"/>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735</w:t>
            </w:r>
            <w:r>
              <w:rPr>
                <w:rFonts w:ascii="Times New Roman" w:cs="Times New Roman" w:eastAsia="Times New Roman" w:hAnsi="Times New Roman"/>
                <w:sz w:val="11"/>
                <w:szCs w:val="11"/>
                <w:color w:val="008000"/>
                <w:w w:val="85"/>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2.85</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125,777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7"/>
                <w:szCs w:val="17"/>
                <w:color w:val="0000FF"/>
                <w:w w:val="93"/>
              </w:rPr>
              <w:t>43,466</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82,311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7"/>
                <w:szCs w:val="17"/>
                <w:color w:val="0000FF"/>
                <w:w w:val="93"/>
              </w:rPr>
              <w:t>62,044</w:t>
            </w:r>
            <w:r>
              <w:rPr>
                <w:rFonts w:ascii="Times New Roman" w:cs="Times New Roman" w:eastAsia="Times New Roman" w:hAnsi="Times New Roman"/>
                <w:sz w:val="22"/>
                <w:szCs w:val="22"/>
                <w:color w:val="008000"/>
                <w:w w:val="93"/>
                <w:vertAlign w:val="superscript"/>
              </w:rPr>
              <w:t>(3)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144,355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tax withholding requirement arising from the vesting of restricted share units granted to the reporting person under the Issuer's Long Term Incentive Plan (the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partially cover income tax liability from the vesting of restricted share units granted to the reporting person under the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 units were granted under the Plan and are scheduled to vest 100% on the earlier of May 28, 2027 or the day immediately preceding the date of the Issuer's first annual shareholder meeting following the date of grant, subject to the terms of the Plan and the applicable award agreement issued thereunder.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 R. Marion,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8752" TargetMode="External"/><Relationship Id="rId14" Type="http://schemas.openxmlformats.org/officeDocument/2006/relationships/hyperlink" Target="http://www.sec.gov/cgi-bin/browse-edgar?action=getcompany&amp;CIK=0001509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2026-05-29T16:57:08Z</dcterms:created>
  <dcterms:modified xsi:type="dcterms:W3CDTF">2026-05-29T16:57:08Z</dcterms:modified>
</cp:coreProperties>
</file>