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1020.xml.htm"/>
      <w:bookmarkStart w:id="1" w:name="kswkform4_17833710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Marion Josh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8176 PARK LANE,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Kosmos Energy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73"/>
        <w:gridCol w:w="453"/>
        <w:gridCol w:w="712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64,248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258,373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233,404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 units were granted under the Issuer's Long Term Incentive Plan (the "Plan") and are scheduled to vest 100% on July 1, 2026, subject to the terms of the Plan and the applicable award agreement issued thereunder.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to satisfy the tax withholding requirement arising from the vesting of restricted share units granted to the reporting person under the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above reflects the weighted average sales price. Sales of shares took place at actual prices ranging from $2.00 to $2.115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Josh R. Marion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25403" TargetMode="External"/><Relationship Id="rId5" Type="http://schemas.openxmlformats.org/officeDocument/2006/relationships/hyperlink" Target="http://www.sec.gov/cgi-bin/browse-edgar?action=getcompany&amp;CIK=00015099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3555</Characters>
  <CharactersWithSpaces>4153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