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Franklin Roy A.</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Kosmos Energy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KOS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9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8176 PARK LANE</w:t>
            </w:r>
          </w:p>
        </w:tc>
        <w:tc>
          <w:tcPr>
            <w:tcW w:w="164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500</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75231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5"/>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976</w:t>
            </w:r>
            <w:r>
              <w:rPr>
                <w:rFonts w:ascii="Times New Roman" w:cs="Times New Roman" w:eastAsia="Times New Roman" w:hAnsi="Times New Roman"/>
                <w:sz w:val="11"/>
                <w:szCs w:val="11"/>
                <w:color w:val="008000"/>
                <w:w w:val="85"/>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194,188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55"/>
              <w:spacing w:after="0"/>
              <w:rPr>
                <w:sz w:val="20"/>
                <w:szCs w:val="20"/>
                <w:color w:val="auto"/>
              </w:rPr>
            </w:pPr>
            <w:r>
              <w:rPr>
                <w:rFonts w:ascii="Times New Roman" w:cs="Times New Roman" w:eastAsia="Times New Roman" w:hAnsi="Times New Roman"/>
                <w:sz w:val="17"/>
                <w:szCs w:val="17"/>
                <w:color w:val="0000FF"/>
                <w:w w:val="93"/>
              </w:rPr>
              <w:t>43,466</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150,722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55"/>
              <w:spacing w:after="0"/>
              <w:rPr>
                <w:sz w:val="20"/>
                <w:szCs w:val="20"/>
                <w:color w:val="auto"/>
              </w:rPr>
            </w:pPr>
            <w:r>
              <w:rPr>
                <w:rFonts w:ascii="Times New Roman" w:cs="Times New Roman" w:eastAsia="Times New Roman" w:hAnsi="Times New Roman"/>
                <w:sz w:val="17"/>
                <w:szCs w:val="17"/>
                <w:color w:val="0000FF"/>
                <w:w w:val="93"/>
              </w:rPr>
              <w:t>62,044</w:t>
            </w:r>
            <w:r>
              <w:rPr>
                <w:rFonts w:ascii="Times New Roman" w:cs="Times New Roman" w:eastAsia="Times New Roman" w:hAnsi="Times New Roman"/>
                <w:sz w:val="22"/>
                <w:szCs w:val="22"/>
                <w:color w:val="008000"/>
                <w:w w:val="93"/>
                <w:vertAlign w:val="superscript"/>
              </w:rPr>
              <w:t>(3)</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212,766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tax withholding requirement arising from the vesting of restricted share units granted to the reporting person under the Issuer's Long Term Incentive Plan (the "Plan").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to partially cover income tax liability from the vesting of restricted share units granted to the reporting person under the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share units were granted under the Plan and are scheduled to vest 100% on the earlier of May 28, 2027 or the day immediately preceding the date of the Issuer's first annual shareholder meeting following the date of grant, subject to the terms of the Plan and the applicable award agreement issued thereunder.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Josh R. Marion,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6150" TargetMode="External"/><Relationship Id="rId14" Type="http://schemas.openxmlformats.org/officeDocument/2006/relationships/hyperlink" Target="http://www.sec.gov/cgi-bin/browse-edgar?action=getcompany&amp;CIK=00015099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2026-05-29T18:26:19Z</dcterms:created>
  <dcterms:modified xsi:type="dcterms:W3CDTF">2026-05-29T18:26:19Z</dcterms:modified>
</cp:coreProperties>
</file>